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CA" w:rsidRDefault="006E75D1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0"/>
          <w:szCs w:val="30"/>
          <w:rtl/>
        </w:rPr>
        <w:t>قائمة المحتويات</w:t>
      </w:r>
    </w:p>
    <w:p w:rsidR="00E147CA" w:rsidRDefault="00E147CA">
      <w:pPr>
        <w:sectPr w:rsidR="00E147CA">
          <w:pgSz w:w="11906" w:h="16838"/>
          <w:pgMar w:top="1134" w:right="1134" w:bottom="1134" w:left="1134" w:header="0" w:footer="0" w:gutter="0"/>
          <w:cols w:space="720"/>
          <w:formProt w:val="0"/>
          <w:bidi/>
          <w:docGrid w:linePitch="600" w:charSpace="32768"/>
        </w:sectPr>
      </w:pPr>
    </w:p>
    <w:p w:rsidR="00E147CA" w:rsidRDefault="00E147CA">
      <w:pPr>
        <w:jc w:val="center"/>
        <w:rPr>
          <w:b/>
          <w:bCs/>
          <w:sz w:val="36"/>
          <w:u w:val="single"/>
        </w:rPr>
      </w:pPr>
    </w:p>
    <w:sdt>
      <w:sdtPr>
        <w:rPr>
          <w:rtl/>
        </w:rPr>
        <w:id w:val="1099213419"/>
        <w:docPartObj>
          <w:docPartGallery w:val="Table of Contents"/>
          <w:docPartUnique/>
        </w:docPartObj>
      </w:sdtPr>
      <w:sdtEndPr/>
      <w:sdtContent>
        <w:p w:rsidR="00E147CA" w:rsidRDefault="006E75D1">
          <w:pPr>
            <w:tabs>
              <w:tab w:val="right" w:leader="dot" w:pos="8630"/>
            </w:tabs>
          </w:pPr>
          <w:r>
            <w:fldChar w:fldCharType="begin"/>
          </w:r>
          <w:r>
            <w:rPr>
              <w:rFonts w:ascii="Arial" w:hAnsi="Arial" w:cs="Arial"/>
              <w:rtl/>
            </w:rPr>
            <w:instrText>TOC \o "1-1"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rtl/>
              <w:lang w:val="ar-EG" w:eastAsia="ar-EG"/>
            </w:rPr>
            <w:t>مقدمة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15">
            <w:r>
              <w:rPr>
                <w:rFonts w:ascii="Arial" w:hAnsi="Arial" w:cs="Arial"/>
                <w:rtl/>
                <w:lang w:val="ar-EG" w:eastAsia="ar-EG"/>
              </w:rPr>
              <w:t>4</w:t>
            </w:r>
          </w:hyperlink>
        </w:p>
        <w:p w:rsidR="00E147CA" w:rsidRDefault="00E147CA">
          <w:pPr>
            <w:rPr>
              <w:rFonts w:cs="Liberation Serif"/>
              <w:b/>
              <w:bCs/>
              <w:color w:val="000000"/>
              <w:rtl/>
              <w:lang w:val="ar-EG" w:eastAsia="ar-EG"/>
            </w:rPr>
          </w:pPr>
        </w:p>
        <w:p w:rsidR="00E147CA" w:rsidRDefault="006E75D1">
          <w:pPr>
            <w:pStyle w:val="BodyText"/>
            <w:rPr>
              <w:rFonts w:cs="Liberation Serif"/>
              <w:rtl/>
              <w:lang w:val="ar-EG" w:eastAsia="ar-EG"/>
            </w:rPr>
          </w:pPr>
          <w:r>
            <w:rPr>
              <w:rFonts w:ascii="Arial" w:hAnsi="Arial" w:cs="Arial"/>
              <w:rtl/>
              <w:lang w:val="ar-EG" w:eastAsia="ar-EG"/>
            </w:rPr>
            <w:t xml:space="preserve">الفصل </w:t>
          </w:r>
          <w:r>
            <w:rPr>
              <w:rFonts w:ascii="Arial" w:hAnsi="Arial" w:cs="Arial"/>
              <w:rtl/>
              <w:lang w:val="ar-EG" w:eastAsia="ar-EG"/>
            </w:rPr>
            <w:t>1</w:t>
          </w:r>
          <w:r>
            <w:rPr>
              <w:rFonts w:ascii="Arial" w:hAnsi="Arial" w:cs="Arial"/>
              <w:rtl/>
              <w:lang w:val="ar-EG" w:eastAsia="ar-EG"/>
            </w:rPr>
            <w:t xml:space="preserve"> - خطة تداول الأغذية الآمنة </w:t>
          </w:r>
          <w:r>
            <w:rPr>
              <w:rFonts w:ascii="Arial" w:hAnsi="Arial" w:cs="Arial"/>
              <w:rtl/>
              <w:lang w:val="ar-EG" w:eastAsia="ar-EG"/>
            </w:rPr>
            <w:t>MPPU</w:t>
          </w:r>
        </w:p>
        <w:p w:rsidR="00E147CA" w:rsidRDefault="00E147CA">
          <w:pPr>
            <w:rPr>
              <w:rFonts w:ascii="Times New Roman" w:hAnsi="Times New Roman" w:cs="Times New Roman"/>
              <w:b/>
              <w:bCs/>
              <w:u w:val="single"/>
              <w:rtl/>
              <w:lang w:val="ar-EG" w:eastAsia="ar-EG"/>
            </w:rPr>
          </w:pPr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1.0</w:t>
          </w:r>
          <w:r>
            <w:rPr>
              <w:rFonts w:ascii="Arial" w:hAnsi="Arial" w:cs="Arial"/>
              <w:rtl/>
              <w:lang w:val="ar-EG" w:eastAsia="ar-EG"/>
            </w:rPr>
            <w:t xml:space="preserve"> </w:t>
          </w:r>
          <w:r>
            <w:rPr>
              <w:rFonts w:ascii="Arial" w:hAnsi="Arial" w:cs="Arial"/>
              <w:rtl/>
              <w:lang w:val="ar-EG" w:eastAsia="ar-EG"/>
            </w:rPr>
            <w:t>مدخل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16">
            <w:r>
              <w:rPr>
                <w:rFonts w:ascii="Arial" w:hAnsi="Arial" w:cs="Arial"/>
                <w:rtl/>
                <w:lang w:val="ar-EG" w:eastAsia="ar-EG"/>
              </w:rPr>
              <w:t>5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1.1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 xml:space="preserve">المنتجات الغذائية المصنعة </w:t>
          </w:r>
          <w:r>
            <w:rPr>
              <w:rFonts w:ascii="Arial" w:hAnsi="Arial" w:cs="Arial"/>
              <w:rtl/>
              <w:lang w:val="ar-EG" w:eastAsia="ar-EG"/>
            </w:rPr>
            <w:t>MPPU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17">
            <w:r>
              <w:rPr>
                <w:rFonts w:ascii="Arial" w:hAnsi="Arial" w:cs="Arial"/>
                <w:rtl/>
                <w:lang w:val="ar-EG" w:eastAsia="ar-EG"/>
              </w:rPr>
              <w:t>6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1.2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 xml:space="preserve">عملية </w:t>
          </w:r>
          <w:r>
            <w:rPr>
              <w:rFonts w:ascii="Arial" w:hAnsi="Arial" w:cs="Arial"/>
              <w:rtl/>
              <w:lang w:val="ar-EG" w:eastAsia="ar-EG"/>
            </w:rPr>
            <w:t>MPPU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18">
            <w:r>
              <w:rPr>
                <w:rFonts w:ascii="Arial" w:hAnsi="Arial" w:cs="Arial"/>
                <w:rtl/>
                <w:lang w:val="ar-EG" w:eastAsia="ar-EG"/>
              </w:rPr>
              <w:t>7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1.3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 xml:space="preserve">مخطط تدفق عملية إنتاج الغذاء </w:t>
          </w:r>
          <w:r>
            <w:rPr>
              <w:rFonts w:ascii="Arial" w:hAnsi="Arial" w:cs="Arial"/>
              <w:rtl/>
              <w:lang w:val="ar-EG" w:eastAsia="ar-EG"/>
            </w:rPr>
            <w:t>MPPU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19">
            <w:r>
              <w:rPr>
                <w:rFonts w:ascii="Arial" w:hAnsi="Arial" w:cs="Arial"/>
                <w:rtl/>
                <w:lang w:val="ar-EG" w:eastAsia="ar-EG"/>
              </w:rPr>
              <w:t>8</w:t>
            </w:r>
          </w:hyperlink>
        </w:p>
        <w:p w:rsidR="00E147CA" w:rsidRDefault="00E147CA">
          <w:pPr>
            <w:rPr>
              <w:rFonts w:cs="Liberation Serif"/>
              <w:b/>
              <w:bCs/>
              <w:color w:val="000000"/>
              <w:rtl/>
              <w:lang w:val="ar-EG" w:eastAsia="ar-EG"/>
            </w:rPr>
          </w:pPr>
        </w:p>
        <w:p w:rsidR="00E147CA" w:rsidRDefault="006E75D1">
          <w:pPr>
            <w:pStyle w:val="BodyText"/>
            <w:rPr>
              <w:rFonts w:cs="Liberation Serif"/>
              <w:rtl/>
              <w:lang w:val="ar-EG" w:eastAsia="ar-EG"/>
            </w:rPr>
          </w:pPr>
          <w:r>
            <w:rPr>
              <w:rFonts w:ascii="Arial" w:hAnsi="Arial" w:cs="Arial"/>
              <w:rtl/>
              <w:lang w:val="ar-EG" w:eastAsia="ar-EG"/>
            </w:rPr>
            <w:t xml:space="preserve">الفصل </w:t>
          </w:r>
          <w:r>
            <w:rPr>
              <w:rFonts w:ascii="Arial" w:hAnsi="Arial" w:cs="Arial"/>
              <w:rtl/>
              <w:lang w:val="ar-EG" w:eastAsia="ar-EG"/>
            </w:rPr>
            <w:t>2</w:t>
          </w:r>
          <w:r>
            <w:rPr>
              <w:rFonts w:ascii="Arial" w:hAnsi="Arial" w:cs="Arial"/>
              <w:rtl/>
              <w:lang w:val="ar-EG" w:eastAsia="ar-EG"/>
            </w:rPr>
            <w:t xml:space="preserve"> - ممارسات التصنيع الجيدة</w:t>
          </w:r>
        </w:p>
        <w:p w:rsidR="00E147CA" w:rsidRDefault="00E147CA">
          <w:pPr>
            <w:rPr>
              <w:rFonts w:cs="Liberation Serif"/>
              <w:rtl/>
              <w:lang w:val="ar-EG" w:eastAsia="ar-EG"/>
            </w:rPr>
          </w:pPr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2.0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مقدم</w:t>
          </w:r>
          <w:r>
            <w:rPr>
              <w:rFonts w:ascii="Arial" w:hAnsi="Arial" w:cs="Arial"/>
              <w:rtl/>
              <w:lang w:val="ar-EG" w:eastAsia="ar-EG"/>
            </w:rPr>
            <w:t>ة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20">
            <w:r>
              <w:rPr>
                <w:rFonts w:ascii="Arial" w:hAnsi="Arial" w:cs="Arial"/>
                <w:rtl/>
                <w:lang w:val="ar-EG" w:eastAsia="ar-EG"/>
              </w:rPr>
              <w:t>9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2.1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توفير التدريب لموظفي المعالجة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21">
            <w:r>
              <w:rPr>
                <w:rFonts w:ascii="Arial" w:hAnsi="Arial" w:cs="Arial"/>
                <w:rtl/>
                <w:lang w:val="ar-EG" w:eastAsia="ar-EG"/>
              </w:rPr>
              <w:t>9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2.2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وضع سياسات الصحة والنظافة لموظفي المعالجة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22">
            <w:r>
              <w:rPr>
                <w:rFonts w:ascii="Arial" w:hAnsi="Arial" w:cs="Arial"/>
                <w:rtl/>
                <w:lang w:val="ar-EG" w:eastAsia="ar-EG"/>
              </w:rPr>
              <w:t>9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2.3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 xml:space="preserve">إنشاء </w:t>
          </w:r>
          <w:r>
            <w:rPr>
              <w:rFonts w:ascii="Arial" w:hAnsi="Arial" w:cs="Arial"/>
              <w:rtl/>
              <w:lang w:val="ar-EG" w:eastAsia="ar-EG"/>
            </w:rPr>
            <w:t>بيئة معالجة نظيفة والحفاظ عليها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23">
            <w:r>
              <w:rPr>
                <w:rFonts w:ascii="Arial" w:hAnsi="Arial" w:cs="Arial"/>
                <w:rtl/>
                <w:lang w:val="ar-EG" w:eastAsia="ar-EG"/>
              </w:rPr>
              <w:t>10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2.4</w:t>
          </w:r>
          <w:r>
            <w:rPr>
              <w:rFonts w:ascii="Arial" w:hAnsi="Arial" w:cs="Arial"/>
              <w:rtl/>
              <w:lang w:val="ar-EG" w:eastAsia="ar-EG"/>
            </w:rPr>
            <w:t xml:space="preserve">- </w:t>
          </w:r>
          <w:r>
            <w:rPr>
              <w:rFonts w:ascii="Arial" w:hAnsi="Arial" w:cs="Arial"/>
              <w:rtl/>
              <w:lang w:val="ar-EG" w:eastAsia="ar-EG"/>
            </w:rPr>
            <w:t>مكافحة الآفات</w:t>
          </w:r>
          <w:r>
            <w:rPr>
              <w:rFonts w:ascii="Arial" w:hAnsi="Arial" w:cs="Arial"/>
              <w:rtl/>
              <w:lang w:val="ar-EG" w:eastAsia="ar-EG"/>
            </w:rPr>
            <w:t xml:space="preserve">: </w:t>
          </w:r>
          <w:r>
            <w:rPr>
              <w:rFonts w:ascii="Arial" w:hAnsi="Arial" w:cs="Arial"/>
              <w:rtl/>
              <w:lang w:val="ar-EG" w:eastAsia="ar-EG"/>
            </w:rPr>
            <w:t>الداخل والخارج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24">
            <w:r>
              <w:rPr>
                <w:rFonts w:ascii="Arial" w:hAnsi="Arial" w:cs="Arial"/>
                <w:rtl/>
                <w:lang w:val="ar-EG" w:eastAsia="ar-EG"/>
              </w:rPr>
              <w:t>11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2.5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التحكم في الوصول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25">
            <w:r>
              <w:rPr>
                <w:rFonts w:ascii="Arial" w:hAnsi="Arial" w:cs="Arial"/>
                <w:rtl/>
                <w:lang w:val="ar-EG" w:eastAsia="ar-EG"/>
              </w:rPr>
              <w:t>11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2.6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ت</w:t>
          </w:r>
          <w:r>
            <w:rPr>
              <w:rFonts w:ascii="Arial" w:hAnsi="Arial" w:cs="Arial"/>
              <w:rtl/>
              <w:lang w:val="ar-EG" w:eastAsia="ar-EG"/>
            </w:rPr>
            <w:t>وفير المياه الصالحة للشرب وحمايتها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26">
            <w:r>
              <w:rPr>
                <w:rFonts w:ascii="Arial" w:hAnsi="Arial" w:cs="Arial"/>
                <w:rtl/>
                <w:lang w:val="ar-EG" w:eastAsia="ar-EG"/>
              </w:rPr>
              <w:t>11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2.7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صيانة معدات وأدوات المعالجة وتخزينها بشكل آمن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27">
            <w:r>
              <w:rPr>
                <w:rFonts w:ascii="Arial" w:hAnsi="Arial" w:cs="Arial"/>
                <w:rtl/>
                <w:lang w:val="ar-EG" w:eastAsia="ar-EG"/>
              </w:rPr>
              <w:t>12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2.8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توفير التخزين الآمن لمستلزمات ومواد المعالجة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28">
            <w:r>
              <w:rPr>
                <w:rFonts w:ascii="Arial" w:hAnsi="Arial" w:cs="Arial"/>
                <w:rtl/>
                <w:lang w:val="ar-EG" w:eastAsia="ar-EG"/>
              </w:rPr>
              <w:t>12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2.9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إدارة نفايات المعالجة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29">
            <w:r>
              <w:rPr>
                <w:rFonts w:ascii="Arial" w:hAnsi="Arial" w:cs="Arial"/>
                <w:rtl/>
                <w:lang w:val="ar-EG" w:eastAsia="ar-EG"/>
              </w:rPr>
              <w:t>12</w:t>
            </w:r>
          </w:hyperlink>
        </w:p>
        <w:p w:rsidR="00E147CA" w:rsidRDefault="00E147CA">
          <w:pPr>
            <w:pStyle w:val="BodyText"/>
            <w:rPr>
              <w:rFonts w:cs="Liberation Serif"/>
              <w:rtl/>
              <w:lang w:val="ar-EG" w:eastAsia="ar-EG"/>
            </w:rPr>
          </w:pPr>
        </w:p>
        <w:p w:rsidR="00E147CA" w:rsidRDefault="006E75D1">
          <w:pPr>
            <w:pStyle w:val="BodyText"/>
            <w:rPr>
              <w:rFonts w:cs="Liberation Serif"/>
              <w:rtl/>
              <w:lang w:val="ar-EG" w:eastAsia="ar-EG"/>
            </w:rPr>
          </w:pPr>
          <w:r>
            <w:rPr>
              <w:rFonts w:ascii="Arial" w:hAnsi="Arial" w:cs="Arial"/>
              <w:rtl/>
              <w:lang w:val="ar-EG" w:eastAsia="ar-EG"/>
            </w:rPr>
            <w:t xml:space="preserve">الفصل </w:t>
          </w:r>
          <w:r>
            <w:rPr>
              <w:rFonts w:ascii="Arial" w:hAnsi="Arial" w:cs="Arial"/>
              <w:rtl/>
              <w:lang w:val="ar-EG" w:eastAsia="ar-EG"/>
            </w:rPr>
            <w:t>3</w:t>
          </w:r>
          <w:r>
            <w:rPr>
              <w:rFonts w:ascii="Arial" w:hAnsi="Arial" w:cs="Arial"/>
              <w:rtl/>
              <w:lang w:val="ar-EG" w:eastAsia="ar-EG"/>
            </w:rPr>
            <w:t xml:space="preserve"> - إجراءات التشغيل القياسية</w:t>
          </w:r>
        </w:p>
        <w:p w:rsidR="00E147CA" w:rsidRDefault="00E147CA">
          <w:pPr>
            <w:rPr>
              <w:rFonts w:cs="Liberation Serif"/>
              <w:rtl/>
              <w:lang w:val="ar-EG" w:eastAsia="ar-EG"/>
            </w:rPr>
          </w:pPr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3.0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مقدمة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30">
            <w:r>
              <w:rPr>
                <w:rFonts w:ascii="Arial" w:hAnsi="Arial" w:cs="Arial"/>
                <w:rtl/>
                <w:lang w:val="ar-EG" w:eastAsia="ar-EG"/>
              </w:rPr>
              <w:t>14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3.1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 xml:space="preserve">الإجراء التشغيلي الموحد </w:t>
          </w:r>
          <w:r>
            <w:rPr>
              <w:rFonts w:ascii="Arial" w:hAnsi="Arial" w:cs="Arial"/>
              <w:rtl/>
              <w:lang w:val="ar-EG" w:eastAsia="ar-EG"/>
            </w:rPr>
            <w:t>لإدارة الموقع ومكافحة الآفات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31">
            <w:r>
              <w:rPr>
                <w:rFonts w:ascii="Arial" w:hAnsi="Arial" w:cs="Arial"/>
                <w:rtl/>
                <w:lang w:val="ar-EG" w:eastAsia="ar-EG"/>
              </w:rPr>
              <w:t>14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3.2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SSOP</w:t>
          </w:r>
          <w:r>
            <w:rPr>
              <w:rFonts w:ascii="Arial" w:hAnsi="Arial" w:cs="Arial"/>
              <w:rtl/>
              <w:lang w:val="ar-EG" w:eastAsia="ar-EG"/>
            </w:rPr>
            <w:t xml:space="preserve"> </w:t>
          </w:r>
          <w:r>
            <w:rPr>
              <w:rFonts w:ascii="Arial" w:hAnsi="Arial" w:cs="Arial"/>
              <w:rtl/>
              <w:lang w:val="ar-EG" w:eastAsia="ar-EG"/>
            </w:rPr>
            <w:t>لصحة الموظفين والنظافة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32">
            <w:r>
              <w:rPr>
                <w:rFonts w:ascii="Arial" w:hAnsi="Arial" w:cs="Arial"/>
                <w:rtl/>
                <w:lang w:val="ar-EG" w:eastAsia="ar-EG"/>
              </w:rPr>
              <w:t>14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3.3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SSOP</w:t>
          </w:r>
          <w:r>
            <w:rPr>
              <w:rFonts w:ascii="Arial" w:hAnsi="Arial" w:cs="Arial"/>
              <w:rtl/>
              <w:lang w:val="ar-EG" w:eastAsia="ar-EG"/>
            </w:rPr>
            <w:t xml:space="preserve">: </w:t>
          </w:r>
          <w:r>
            <w:rPr>
              <w:rFonts w:ascii="Arial" w:hAnsi="Arial" w:cs="Arial"/>
              <w:rtl/>
              <w:lang w:val="ar-EG" w:eastAsia="ar-EG"/>
            </w:rPr>
            <w:t>فحص ما قبل التشغيل وجدول الصرف الصحي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33">
            <w:r>
              <w:rPr>
                <w:rFonts w:ascii="Arial" w:hAnsi="Arial" w:cs="Arial"/>
                <w:rtl/>
                <w:lang w:val="ar-EG" w:eastAsia="ar-EG"/>
              </w:rPr>
              <w:t>14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3.4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SSOP</w:t>
          </w:r>
          <w:r>
            <w:rPr>
              <w:rFonts w:ascii="Arial" w:hAnsi="Arial" w:cs="Arial"/>
              <w:rtl/>
              <w:lang w:val="ar-EG" w:eastAsia="ar-EG"/>
            </w:rPr>
            <w:t xml:space="preserve">: </w:t>
          </w:r>
          <w:r>
            <w:rPr>
              <w:rFonts w:ascii="Arial" w:hAnsi="Arial" w:cs="Arial"/>
              <w:rtl/>
              <w:lang w:val="ar-EG" w:eastAsia="ar-EG"/>
            </w:rPr>
            <w:t>صيانة الصرف الصحي التشغيلية اليومية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34">
            <w:r>
              <w:rPr>
                <w:rFonts w:ascii="Arial" w:hAnsi="Arial" w:cs="Arial"/>
                <w:rtl/>
                <w:lang w:val="ar-EG" w:eastAsia="ar-EG"/>
              </w:rPr>
              <w:t>15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3.5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SSOP</w:t>
          </w:r>
          <w:r>
            <w:rPr>
              <w:rFonts w:ascii="Arial" w:hAnsi="Arial" w:cs="Arial"/>
              <w:rtl/>
              <w:lang w:val="ar-EG" w:eastAsia="ar-EG"/>
            </w:rPr>
            <w:t xml:space="preserve"> </w:t>
          </w:r>
          <w:r>
            <w:rPr>
              <w:rFonts w:ascii="Arial" w:hAnsi="Arial" w:cs="Arial"/>
              <w:rtl/>
              <w:lang w:val="ar-EG" w:eastAsia="ar-EG"/>
            </w:rPr>
            <w:t>لخزان التبريد ومراقبة درجة حرارة التبريد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35">
            <w:r>
              <w:rPr>
                <w:rFonts w:ascii="Arial" w:hAnsi="Arial" w:cs="Arial"/>
                <w:rtl/>
                <w:lang w:val="ar-EG" w:eastAsia="ar-EG"/>
              </w:rPr>
              <w:t>15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3.6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SSOP</w:t>
          </w:r>
          <w:r>
            <w:rPr>
              <w:rFonts w:ascii="Arial" w:hAnsi="Arial" w:cs="Arial"/>
              <w:rtl/>
              <w:lang w:val="ar-EG" w:eastAsia="ar-EG"/>
            </w:rPr>
            <w:t xml:space="preserve">: </w:t>
          </w:r>
          <w:r>
            <w:rPr>
              <w:rFonts w:ascii="Arial" w:hAnsi="Arial" w:cs="Arial"/>
              <w:rtl/>
              <w:lang w:val="ar-EG" w:eastAsia="ar-EG"/>
            </w:rPr>
            <w:t xml:space="preserve">جدول الصرف الصحي لما </w:t>
          </w:r>
          <w:r>
            <w:rPr>
              <w:rFonts w:ascii="Arial" w:hAnsi="Arial" w:cs="Arial"/>
              <w:rtl/>
              <w:lang w:val="ar-EG" w:eastAsia="ar-EG"/>
            </w:rPr>
            <w:t>بعد التشغيل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36">
            <w:r>
              <w:rPr>
                <w:rFonts w:ascii="Arial" w:hAnsi="Arial" w:cs="Arial"/>
                <w:rtl/>
                <w:lang w:val="ar-EG" w:eastAsia="ar-EG"/>
              </w:rPr>
              <w:t>16</w:t>
            </w:r>
          </w:hyperlink>
        </w:p>
        <w:p w:rsidR="00E147CA" w:rsidRDefault="00E147CA">
          <w:pPr>
            <w:pStyle w:val="BodyText"/>
            <w:rPr>
              <w:rFonts w:cs="Liberation Serif"/>
              <w:color w:val="000000"/>
              <w:rtl/>
              <w:lang w:val="ar-EG" w:eastAsia="ar-EG"/>
            </w:rPr>
          </w:pPr>
        </w:p>
        <w:p w:rsidR="00E147CA" w:rsidRDefault="006E75D1">
          <w:pPr>
            <w:pStyle w:val="BodyText"/>
            <w:rPr>
              <w:rFonts w:cs="Liberation Serif"/>
              <w:rtl/>
              <w:lang w:val="ar-EG" w:eastAsia="ar-EG"/>
            </w:rPr>
          </w:pPr>
          <w:r>
            <w:rPr>
              <w:rFonts w:ascii="Arial" w:hAnsi="Arial" w:cs="Arial"/>
              <w:rtl/>
              <w:lang w:val="ar-EG" w:eastAsia="ar-EG"/>
            </w:rPr>
            <w:t xml:space="preserve">الفصل </w:t>
          </w:r>
          <w:r>
            <w:rPr>
              <w:rFonts w:ascii="Arial" w:hAnsi="Arial" w:cs="Arial"/>
              <w:rtl/>
              <w:lang w:val="ar-EG" w:eastAsia="ar-EG"/>
            </w:rPr>
            <w:t>4</w:t>
          </w:r>
          <w:r>
            <w:rPr>
              <w:rFonts w:ascii="Arial" w:hAnsi="Arial" w:cs="Arial"/>
              <w:rtl/>
              <w:lang w:val="ar-EG" w:eastAsia="ar-EG"/>
            </w:rPr>
            <w:t xml:space="preserve"> - تحليل المخاطر خطة نقطة التحكم الحرجة</w:t>
          </w:r>
        </w:p>
        <w:p w:rsidR="00E147CA" w:rsidRDefault="00E147CA">
          <w:pPr>
            <w:tabs>
              <w:tab w:val="right" w:leader="dot" w:pos="8630"/>
            </w:tabs>
            <w:rPr>
              <w:rFonts w:cs="Liberation Serif"/>
              <w:rtl/>
              <w:lang w:val="ar-EG" w:eastAsia="ar-EG"/>
            </w:rPr>
          </w:pPr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4.0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مقدمة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37">
            <w:r>
              <w:rPr>
                <w:rFonts w:ascii="Arial" w:hAnsi="Arial" w:cs="Arial"/>
                <w:rtl/>
                <w:lang w:val="ar-EG" w:eastAsia="ar-EG"/>
              </w:rPr>
              <w:t>17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4.1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الخطوات السبع لنظام تحليل المخاطر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38">
            <w:r>
              <w:rPr>
                <w:rFonts w:ascii="Arial" w:hAnsi="Arial" w:cs="Arial"/>
                <w:rtl/>
                <w:lang w:val="ar-EG" w:eastAsia="ar-EG"/>
              </w:rPr>
              <w:t>17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4.2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تحليل المخاطر وتحديد نقاط التحكم الحرجة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39">
            <w:r>
              <w:rPr>
                <w:rFonts w:ascii="Arial" w:hAnsi="Arial" w:cs="Arial"/>
                <w:rtl/>
                <w:lang w:val="ar-EG" w:eastAsia="ar-EG"/>
              </w:rPr>
              <w:t>19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4.3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تحديد الحدود الحرجة والمراقبة والإجراءات التصحيحية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40">
            <w:r>
              <w:rPr>
                <w:rFonts w:ascii="Arial" w:hAnsi="Arial" w:cs="Arial"/>
                <w:rtl/>
                <w:lang w:val="ar-EG" w:eastAsia="ar-EG"/>
              </w:rPr>
              <w:t>23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4.3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 xml:space="preserve">تحديد الحدود الحرجة </w:t>
          </w:r>
          <w:r>
            <w:rPr>
              <w:rFonts w:ascii="Arial" w:hAnsi="Arial" w:cs="Arial"/>
              <w:rtl/>
              <w:lang w:val="ar-EG" w:eastAsia="ar-EG"/>
            </w:rPr>
            <w:t>والمراقبة والإجراءات التصحيحية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41">
            <w:r>
              <w:rPr>
                <w:rFonts w:ascii="Arial" w:hAnsi="Arial" w:cs="Arial"/>
                <w:rtl/>
                <w:lang w:val="ar-EG" w:eastAsia="ar-EG"/>
              </w:rPr>
              <w:t>26</w:t>
            </w:r>
          </w:hyperlink>
        </w:p>
        <w:p w:rsidR="00E147CA" w:rsidRDefault="006E75D1">
          <w:pPr>
            <w:tabs>
              <w:tab w:val="right" w:leader="dot" w:pos="8630"/>
            </w:tabs>
          </w:pPr>
          <w:r>
            <w:rPr>
              <w:rFonts w:ascii="Arial" w:hAnsi="Arial" w:cs="Arial"/>
              <w:rtl/>
              <w:lang w:val="ar-EG" w:eastAsia="ar-EG"/>
            </w:rPr>
            <w:t>4.4</w:t>
          </w:r>
          <w:r>
            <w:rPr>
              <w:rFonts w:ascii="Arial" w:hAnsi="Arial" w:cs="Arial"/>
              <w:rtl/>
              <w:lang w:val="ar-EG" w:eastAsia="ar-EG"/>
            </w:rPr>
            <w:t xml:space="preserve"> - </w:t>
          </w:r>
          <w:r>
            <w:rPr>
              <w:rFonts w:ascii="Arial" w:hAnsi="Arial" w:cs="Arial"/>
              <w:rtl/>
              <w:lang w:val="ar-EG" w:eastAsia="ar-EG"/>
            </w:rPr>
            <w:t>إجراءات حفظ السجلات والتحقق منها</w:t>
          </w:r>
          <w:r>
            <w:rPr>
              <w:rFonts w:ascii="Arial" w:hAnsi="Arial" w:cs="Arial"/>
              <w:rtl/>
              <w:lang w:val="ar-EG" w:eastAsia="ar-EG"/>
            </w:rPr>
            <w:tab/>
          </w:r>
          <w:hyperlink w:anchor="__RefHeading___Toc292461042">
            <w:r>
              <w:rPr>
                <w:rFonts w:ascii="Arial" w:hAnsi="Arial" w:cs="Arial"/>
                <w:rtl/>
                <w:lang w:val="ar-EG" w:eastAsia="ar-EG"/>
              </w:rPr>
              <w:t>27</w:t>
            </w:r>
          </w:hyperlink>
          <w:r>
            <w:rPr>
              <w:rFonts w:ascii="Arial" w:hAnsi="Arial" w:cs="Arial"/>
            </w:rPr>
            <w:fldChar w:fldCharType="end"/>
          </w:r>
        </w:p>
        <w:p w:rsidR="00E147CA" w:rsidRDefault="006E75D1">
          <w:pPr>
            <w:sectPr w:rsidR="00E147CA">
              <w:type w:val="continuous"/>
              <w:pgSz w:w="11906" w:h="16838"/>
              <w:pgMar w:top="1134" w:right="1134" w:bottom="1134" w:left="1134" w:header="0" w:footer="0" w:gutter="0"/>
              <w:cols w:space="720"/>
              <w:formProt w:val="0"/>
              <w:bidi/>
              <w:docGrid w:linePitch="600" w:charSpace="32768"/>
            </w:sectPr>
          </w:pPr>
        </w:p>
      </w:sdtContent>
    </w:sdt>
    <w:p w:rsidR="00E147CA" w:rsidRDefault="006E75D1">
      <w:pPr>
        <w:rPr>
          <w:rFonts w:cs="Liberation Serif"/>
          <w:b/>
          <w:bCs/>
          <w:color w:val="000000"/>
          <w:rtl/>
          <w:lang w:val="ar-EG" w:eastAsia="ar-EG"/>
        </w:rPr>
      </w:pPr>
      <w:r>
        <w:lastRenderedPageBreak/>
        <w:br w:type="page"/>
      </w:r>
    </w:p>
    <w:p w:rsidR="00E147CA" w:rsidRDefault="006E75D1">
      <w:pPr>
        <w:pStyle w:val="BodyText"/>
        <w:jc w:val="center"/>
        <w:rPr>
          <w:rFonts w:cs="Liberation Serif"/>
          <w:rtl/>
          <w:lang w:val="ar-EG" w:eastAsia="ar-EG"/>
        </w:rPr>
      </w:pPr>
      <w:r>
        <w:rPr>
          <w:rFonts w:ascii="Arial" w:hAnsi="Arial" w:cs="Arial"/>
          <w:rtl/>
          <w:lang w:val="ar-EG" w:eastAsia="ar-EG"/>
        </w:rPr>
        <w:lastRenderedPageBreak/>
        <w:t>الملاحق</w:t>
      </w:r>
    </w:p>
    <w:p w:rsidR="00E147CA" w:rsidRDefault="00E147CA">
      <w:pPr>
        <w:tabs>
          <w:tab w:val="right" w:leader="dot" w:pos="8630"/>
        </w:tabs>
        <w:rPr>
          <w:rFonts w:cs="Liberation Serif"/>
          <w:rtl/>
          <w:lang w:val="ar-EG" w:eastAsia="ar-EG"/>
        </w:rPr>
      </w:pPr>
    </w:p>
    <w:p w:rsidR="00E147CA" w:rsidRDefault="006E75D1">
      <w:pPr>
        <w:rPr>
          <w:rFonts w:ascii="Arial" w:hAnsi="Arial" w:cs="Arial"/>
        </w:rPr>
      </w:pPr>
      <w:r>
        <w:rPr>
          <w:rFonts w:ascii="Arial" w:hAnsi="Arial" w:cs="Arial"/>
          <w:rtl/>
          <w:lang w:val="ar-EG" w:eastAsia="ar-EG"/>
        </w:rPr>
        <w:t>(</w:t>
      </w:r>
      <w:r>
        <w:rPr>
          <w:rFonts w:ascii="Arial" w:hAnsi="Arial" w:cs="Arial"/>
          <w:rtl/>
          <w:lang w:val="ar-EG" w:eastAsia="ar-EG"/>
        </w:rPr>
        <w:t>أ</w:t>
      </w:r>
      <w:r>
        <w:rPr>
          <w:rFonts w:ascii="Arial" w:hAnsi="Arial" w:cs="Arial"/>
          <w:rtl/>
          <w:lang w:val="ar-EG" w:eastAsia="ar-EG"/>
        </w:rPr>
        <w:t xml:space="preserve">) </w:t>
      </w:r>
      <w:r>
        <w:rPr>
          <w:rFonts w:ascii="Arial" w:hAnsi="Arial" w:cs="Arial"/>
          <w:rtl/>
          <w:lang w:val="ar-EG" w:eastAsia="ar-EG"/>
        </w:rPr>
        <w:t xml:space="preserve">عينة من سجلات عمليات حفظ السجلات </w:t>
      </w:r>
      <w:r>
        <w:rPr>
          <w:rFonts w:ascii="Arial" w:hAnsi="Arial" w:cs="Arial"/>
          <w:rtl/>
          <w:lang w:val="ar-EG" w:eastAsia="ar-EG"/>
        </w:rPr>
        <w:t>.......................…………………………………......</w:t>
      </w:r>
      <w:r>
        <w:rPr>
          <w:rFonts w:ascii="Arial" w:hAnsi="Arial" w:cs="Arial"/>
          <w:rtl/>
          <w:lang w:val="ar-EG" w:eastAsia="ar-EG"/>
        </w:rPr>
        <w:t>28</w:t>
      </w:r>
    </w:p>
    <w:p w:rsidR="00E147CA" w:rsidRDefault="00E147CA">
      <w:pPr>
        <w:rPr>
          <w:bCs/>
        </w:rPr>
      </w:pPr>
    </w:p>
    <w:p w:rsidR="00E147CA" w:rsidRDefault="006E75D1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rtl/>
          <w:lang w:val="ar-EG" w:eastAsia="ar-EG"/>
        </w:rPr>
        <w:t>(</w:t>
      </w:r>
      <w:r>
        <w:rPr>
          <w:rFonts w:ascii="Arial" w:hAnsi="Arial" w:cs="Arial"/>
          <w:rtl/>
          <w:lang w:val="ar-EG" w:eastAsia="ar-EG"/>
        </w:rPr>
        <w:t>ب</w:t>
      </w:r>
      <w:r>
        <w:rPr>
          <w:rFonts w:ascii="Arial" w:hAnsi="Arial" w:cs="Arial"/>
          <w:rtl/>
          <w:lang w:val="ar-EG" w:eastAsia="ar-EG"/>
        </w:rPr>
        <w:t xml:space="preserve">) </w:t>
      </w:r>
      <w:r>
        <w:rPr>
          <w:rFonts w:ascii="Arial" w:hAnsi="Arial" w:cs="Arial"/>
          <w:rtl/>
          <w:lang w:val="ar-EG" w:eastAsia="ar-EG"/>
        </w:rPr>
        <w:t>عينة من بروتوكول وممارسات الأمن الحيوي من مزرعة إلى مزرعة ……………</w:t>
      </w:r>
      <w:r>
        <w:rPr>
          <w:rFonts w:ascii="Arial" w:hAnsi="Arial" w:cs="Arial"/>
          <w:rtl/>
          <w:lang w:val="ar-EG" w:eastAsia="ar-EG"/>
        </w:rPr>
        <w:t xml:space="preserve">...................... </w:t>
      </w:r>
      <w:r>
        <w:rPr>
          <w:rFonts w:ascii="Arial" w:hAnsi="Arial" w:cs="Arial"/>
          <w:rtl/>
          <w:lang w:val="ar-EG" w:eastAsia="ar-EG"/>
        </w:rPr>
        <w:t>43</w:t>
      </w:r>
    </w:p>
    <w:p w:rsidR="00E147CA" w:rsidRDefault="00E147CA">
      <w:pPr>
        <w:rPr>
          <w:rFonts w:ascii="Times New Roman" w:hAnsi="Times New Roman" w:cs="Times New Roman"/>
          <w:bCs/>
        </w:rPr>
      </w:pPr>
    </w:p>
    <w:p w:rsidR="00E147CA" w:rsidRDefault="006E75D1">
      <w:pPr>
        <w:shd w:val="clear" w:color="auto" w:fill="FFFFFF"/>
        <w:ind w:left="360" w:hanging="360"/>
        <w:rPr>
          <w:rFonts w:ascii="Arial" w:hAnsi="Arial" w:cs="Arial"/>
        </w:rPr>
      </w:pPr>
      <w:r>
        <w:rPr>
          <w:rFonts w:ascii="Arial" w:hAnsi="Arial" w:cs="Arial"/>
          <w:rtl/>
          <w:lang w:val="ar-EG" w:eastAsia="ar-EG"/>
        </w:rPr>
        <w:t>(</w:t>
      </w:r>
      <w:r>
        <w:rPr>
          <w:rFonts w:ascii="Arial" w:hAnsi="Arial" w:cs="Arial"/>
          <w:rtl/>
          <w:lang w:val="ar-EG" w:eastAsia="ar-EG"/>
        </w:rPr>
        <w:t>ج</w:t>
      </w:r>
      <w:r>
        <w:rPr>
          <w:rFonts w:ascii="Arial" w:hAnsi="Arial" w:cs="Arial"/>
          <w:rtl/>
          <w:lang w:val="ar-EG" w:eastAsia="ar-EG"/>
        </w:rPr>
        <w:t xml:space="preserve">) </w:t>
      </w:r>
      <w:r>
        <w:rPr>
          <w:rFonts w:ascii="Arial" w:hAnsi="Arial" w:cs="Arial"/>
          <w:rtl/>
          <w:lang w:val="ar-EG" w:eastAsia="ar-EG"/>
        </w:rPr>
        <w:t xml:space="preserve">نموذج سجل بروتوكول وممارسات معالجة المياه والنفايات الصلبة </w:t>
      </w:r>
      <w:r>
        <w:rPr>
          <w:rFonts w:ascii="Arial" w:hAnsi="Arial" w:cs="Arial"/>
          <w:rtl/>
          <w:lang w:val="ar-EG" w:eastAsia="ar-EG"/>
        </w:rPr>
        <w:t xml:space="preserve">............………………........... </w:t>
      </w:r>
      <w:r>
        <w:rPr>
          <w:rFonts w:ascii="Arial" w:hAnsi="Arial" w:cs="Arial"/>
          <w:rtl/>
          <w:lang w:val="ar-EG" w:eastAsia="ar-EG"/>
        </w:rPr>
        <w:t>45</w:t>
      </w:r>
    </w:p>
    <w:p w:rsidR="00E147CA" w:rsidRDefault="00E147CA">
      <w:pPr>
        <w:shd w:val="clear" w:color="auto" w:fill="FFFFFF"/>
        <w:ind w:left="1440" w:hanging="1440"/>
        <w:rPr>
          <w:rFonts w:ascii="Times New Roman" w:hAnsi="Times New Roman" w:cs="Times New Roman"/>
        </w:rPr>
      </w:pPr>
    </w:p>
    <w:p w:rsidR="00E147CA" w:rsidRDefault="006E75D1">
      <w:pPr>
        <w:shd w:val="clear" w:color="auto" w:fill="FFFFFF"/>
        <w:ind w:left="1440" w:hanging="1440"/>
        <w:rPr>
          <w:rFonts w:ascii="Arial" w:hAnsi="Arial" w:cs="Arial"/>
        </w:rPr>
      </w:pPr>
      <w:r>
        <w:rPr>
          <w:rFonts w:ascii="Arial" w:hAnsi="Arial" w:cs="Arial"/>
          <w:rtl/>
          <w:lang w:val="ar-EG" w:eastAsia="ar-EG"/>
        </w:rPr>
        <w:t>(</w:t>
      </w:r>
      <w:r>
        <w:rPr>
          <w:rFonts w:ascii="Arial" w:hAnsi="Arial" w:cs="Arial"/>
          <w:rtl/>
          <w:lang w:val="ar-EG" w:eastAsia="ar-EG"/>
        </w:rPr>
        <w:t>د</w:t>
      </w:r>
      <w:r>
        <w:rPr>
          <w:rFonts w:ascii="Arial" w:hAnsi="Arial" w:cs="Arial"/>
          <w:rtl/>
          <w:lang w:val="ar-EG" w:eastAsia="ar-EG"/>
        </w:rPr>
        <w:t xml:space="preserve">) </w:t>
      </w:r>
      <w:r>
        <w:rPr>
          <w:rFonts w:ascii="Arial" w:hAnsi="Arial" w:cs="Arial"/>
          <w:rtl/>
          <w:lang w:val="ar-EG" w:eastAsia="ar-EG"/>
        </w:rPr>
        <w:t xml:space="preserve">إرشادات </w:t>
      </w:r>
      <w:r>
        <w:rPr>
          <w:rFonts w:ascii="Arial" w:hAnsi="Arial" w:cs="Arial"/>
          <w:rtl/>
          <w:lang w:val="ar-EG" w:eastAsia="ar-EG"/>
        </w:rPr>
        <w:t>DEP</w:t>
      </w:r>
      <w:r>
        <w:rPr>
          <w:rFonts w:ascii="Arial" w:hAnsi="Arial" w:cs="Arial"/>
          <w:rtl/>
          <w:lang w:val="ar-EG" w:eastAsia="ar-EG"/>
        </w:rPr>
        <w:t xml:space="preserve"> </w:t>
      </w:r>
      <w:r>
        <w:rPr>
          <w:rFonts w:ascii="Arial" w:hAnsi="Arial" w:cs="Arial"/>
          <w:rtl/>
          <w:lang w:val="ar-EG" w:eastAsia="ar-EG"/>
        </w:rPr>
        <w:t>وأفضل ممارسات الإدارة لنفايات</w:t>
      </w:r>
      <w:r>
        <w:rPr>
          <w:rFonts w:ascii="Arial" w:hAnsi="Arial" w:cs="Arial"/>
          <w:rtl/>
          <w:lang w:val="ar-EG" w:eastAsia="ar-EG" w:bidi="ar-SA"/>
        </w:rPr>
        <w:t xml:space="preserve"> </w:t>
      </w:r>
      <w:r>
        <w:rPr>
          <w:rFonts w:ascii="Arial" w:hAnsi="Arial" w:cs="Arial"/>
          <w:rtl/>
          <w:lang w:val="ar-EG" w:eastAsia="ar-EG"/>
        </w:rPr>
        <w:t>MPPU</w:t>
      </w:r>
      <w:r>
        <w:rPr>
          <w:rFonts w:ascii="Arial" w:hAnsi="Arial" w:cs="Arial"/>
          <w:b/>
          <w:bCs/>
          <w:rtl/>
          <w:lang w:val="ar-EG" w:eastAsia="ar-EG"/>
        </w:rPr>
        <w:t xml:space="preserve"> </w:t>
      </w:r>
      <w:proofErr w:type="gramStart"/>
      <w:r>
        <w:rPr>
          <w:rFonts w:ascii="Arial" w:hAnsi="Arial" w:cs="Arial"/>
          <w:rtl/>
          <w:lang w:eastAsia="ar-EG" w:bidi="ar-SA"/>
        </w:rPr>
        <w:t xml:space="preserve">الـ </w:t>
      </w:r>
      <w:r>
        <w:rPr>
          <w:rFonts w:ascii="Arial" w:hAnsi="Arial" w:cs="Arial"/>
          <w:rtl/>
          <w:lang w:eastAsia="ar-EG" w:bidi="ar-SA"/>
        </w:rPr>
        <w:t>.</w:t>
      </w:r>
      <w:proofErr w:type="gramEnd"/>
      <w:r>
        <w:rPr>
          <w:rFonts w:ascii="Arial" w:hAnsi="Arial" w:cs="Arial"/>
          <w:rtl/>
          <w:lang w:eastAsia="ar-EG" w:bidi="ar-SA"/>
        </w:rPr>
        <w:t>……………………….………….</w:t>
      </w:r>
      <w:r>
        <w:rPr>
          <w:rFonts w:ascii="Arial" w:hAnsi="Arial" w:cs="Arial"/>
          <w:lang w:eastAsia="ar-EG" w:bidi="ar-SA"/>
        </w:rPr>
        <w:t>47</w:t>
      </w:r>
    </w:p>
    <w:sectPr w:rsidR="00E147CA">
      <w:type w:val="continuous"/>
      <w:pgSz w:w="11906" w:h="16838"/>
      <w:pgMar w:top="1134" w:right="1134" w:bottom="1134" w:left="1134" w:header="0" w:footer="0" w:gutter="0"/>
      <w:cols w:space="720"/>
      <w:formProt w:val="0"/>
      <w:bidi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CA"/>
    <w:rsid w:val="006E75D1"/>
    <w:rsid w:val="00E1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0151C7-E21E-4FCE-B09A-2205E67C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Tahoma"/>
        <w:kern w:val="2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bidi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ابط شابكة"/>
    <w:rPr>
      <w:color w:val="000080"/>
      <w:u w:val="single"/>
    </w:rPr>
  </w:style>
  <w:style w:type="character" w:customStyle="1" w:styleId="a0">
    <w:name w:val="وصلة فهرس"/>
    <w:qFormat/>
  </w:style>
  <w:style w:type="paragraph" w:customStyle="1" w:styleId="a1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2">
    <w:name w:val="فهرس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dc:description/>
  <cp:lastModifiedBy>SONY</cp:lastModifiedBy>
  <cp:revision>2</cp:revision>
  <dcterms:created xsi:type="dcterms:W3CDTF">2021-07-07T18:38:00Z</dcterms:created>
  <dcterms:modified xsi:type="dcterms:W3CDTF">2021-07-07T18:38:00Z</dcterms:modified>
  <dc:language>ar-EG</dc:language>
</cp:coreProperties>
</file>